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Arial" w:cs="Arial" w:hAnsi="Arial" w:eastAsia="Arial"/>
          <w:sz w:val="44"/>
          <w:szCs w:val="44"/>
        </w:rPr>
      </w:pPr>
      <w:r>
        <w:rPr>
          <w:lang w:val="en-US"/>
        </w:rPr>
        <w:drawing xmlns:a="http://schemas.openxmlformats.org/drawingml/2006/main">
          <wp:anchor distT="0" distB="0" distL="0" distR="0" simplePos="0" relativeHeight="251660288" behindDoc="0" locked="0" layoutInCell="1" allowOverlap="1">
            <wp:simplePos x="0" y="0"/>
            <wp:positionH relativeFrom="page">
              <wp:posOffset>4914900</wp:posOffset>
            </wp:positionH>
            <wp:positionV relativeFrom="page">
              <wp:posOffset>228600</wp:posOffset>
            </wp:positionV>
            <wp:extent cx="2126615" cy="1417320"/>
            <wp:effectExtent l="0" t="0" r="0" b="0"/>
            <wp:wrapNone/>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4">
                      <a:extLst/>
                    </a:blip>
                    <a:stretch>
                      <a:fillRect/>
                    </a:stretch>
                  </pic:blipFill>
                  <pic:spPr>
                    <a:xfrm>
                      <a:off x="0" y="0"/>
                      <a:ext cx="2126615" cy="1417320"/>
                    </a:xfrm>
                    <a:prstGeom prst="rect">
                      <a:avLst/>
                    </a:prstGeom>
                    <a:ln w="12700" cap="flat">
                      <a:noFill/>
                      <a:miter lim="400000"/>
                    </a:ln>
                    <a:effectLst/>
                  </pic:spPr>
                </pic:pic>
              </a:graphicData>
            </a:graphic>
          </wp:anchor>
        </w:drawing>
      </w:r>
      <w:r>
        <w:rPr>
          <w:rFonts w:ascii="Arial" w:hAnsi="Arial"/>
          <w:sz w:val="44"/>
          <w:szCs w:val="44"/>
          <w:rtl w:val="0"/>
          <w:lang w:val="en-US"/>
        </w:rPr>
        <w:t xml:space="preserve">PCE World </w:t>
      </w:r>
      <w:r>
        <w:rPr>
          <w:rFonts w:ascii="Arial" w:hAnsi="Arial"/>
          <w:sz w:val="44"/>
          <w:szCs w:val="44"/>
          <w:rtl w:val="0"/>
          <w:lang w:val="en-US"/>
        </w:rPr>
        <w:t>Translation</w:t>
      </w:r>
      <w:r>
        <w:rPr>
          <w:rFonts w:ascii="Arial" w:hAnsi="Arial"/>
          <w:sz w:val="44"/>
          <w:szCs w:val="44"/>
          <w:rtl w:val="0"/>
          <w:lang w:val="en-US"/>
        </w:rPr>
        <w:t xml:space="preserve"> </w:t>
      </w:r>
    </w:p>
    <w:p>
      <w:pPr>
        <w:pStyle w:val="Normal.0"/>
        <w:rPr>
          <w:rFonts w:ascii="Arial" w:cs="Arial" w:hAnsi="Arial" w:eastAsia="Arial"/>
          <w:sz w:val="44"/>
          <w:szCs w:val="44"/>
        </w:rPr>
      </w:pPr>
      <w:r>
        <w:rPr>
          <w:rFonts w:ascii="Arial" w:hAnsi="Arial"/>
          <w:sz w:val="44"/>
          <w:szCs w:val="44"/>
          <w:rtl w:val="0"/>
          <w:lang w:val="en-US"/>
        </w:rPr>
        <w:t>Grant Application</w:t>
      </w:r>
    </w:p>
    <w:p>
      <w:pPr>
        <w:pStyle w:val="Normal.0"/>
        <w:jc w:val="both"/>
        <w:rPr>
          <w:rFonts w:ascii="Arial" w:cs="Arial" w:hAnsi="Arial" w:eastAsia="Arial"/>
          <w:sz w:val="22"/>
          <w:szCs w:val="22"/>
        </w:rPr>
      </w:pPr>
    </w:p>
    <w:p>
      <w:pPr>
        <w:pStyle w:val="Normal.0"/>
        <w:jc w:val="both"/>
        <w:rPr>
          <w:rFonts w:ascii="Arial" w:cs="Arial" w:hAnsi="Arial" w:eastAsia="Arial"/>
          <w:sz w:val="20"/>
          <w:szCs w:val="20"/>
        </w:rPr>
      </w:pPr>
    </w:p>
    <w:p>
      <w:pPr>
        <w:pStyle w:val="Normal.0"/>
        <w:numPr>
          <w:ilvl w:val="0"/>
          <w:numId w:val="2"/>
        </w:numPr>
        <w:shd w:val="clear" w:color="auto" w:fill="ffffff"/>
        <w:bidi w:val="0"/>
        <w:spacing w:line="276" w:lineRule="auto"/>
        <w:ind w:right="0"/>
        <w:jc w:val="left"/>
        <w:rPr>
          <w:rFonts w:ascii="Arial" w:hAnsi="Arial"/>
          <w:b w:val="1"/>
          <w:bCs w:val="1"/>
          <w:sz w:val="20"/>
          <w:szCs w:val="20"/>
          <w:rtl w:val="0"/>
          <w:lang w:val="en-US"/>
        </w:rPr>
      </w:pPr>
      <w:r>
        <w:rPr>
          <w:rFonts w:ascii="Arial" w:hAnsi="Arial"/>
          <w:b w:val="1"/>
          <w:bCs w:val="1"/>
          <w:sz w:val="20"/>
          <w:szCs w:val="20"/>
          <w:rtl w:val="0"/>
          <w:lang w:val="en-US"/>
        </w:rPr>
        <w:t>Purpose and aims</w:t>
      </w:r>
    </w:p>
    <w:p>
      <w:pPr>
        <w:pStyle w:val="List Paragraph"/>
        <w:numPr>
          <w:ilvl w:val="0"/>
          <w:numId w:val="4"/>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PCE World Translation Grant is a form of financial assistance provided by the World Association to Person-Centered and Experiential (PCE) researchers and practitioners who seek an opportunity to translate their writing into English in order to publish them in the PCEP Journal.</w:t>
      </w:r>
    </w:p>
    <w:p>
      <w:pPr>
        <w:pStyle w:val="List Paragraph"/>
        <w:numPr>
          <w:ilvl w:val="0"/>
          <w:numId w:val="4"/>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 main purpose of the Grant is to engage the diverse population of PCE colleagues in publishing activities and to increase the diversity of PCE worldwide by making literature available regardless of the original language.</w:t>
      </w:r>
    </w:p>
    <w:p>
      <w:pPr>
        <w:pStyle w:val="List Paragraph"/>
        <w:numPr>
          <w:ilvl w:val="0"/>
          <w:numId w:val="4"/>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 Grant is aimed at raising interest in and supporting the dissemination of research in the PCE approach among PCE colleagues worldwide regardless of their first language;</w:t>
      </w:r>
    </w:p>
    <w:p>
      <w:pPr>
        <w:pStyle w:val="List Paragraph"/>
        <w:numPr>
          <w:ilvl w:val="0"/>
          <w:numId w:val="4"/>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It is not guaranteed that the Grant will cover 100% of the translation expenses.</w:t>
      </w:r>
    </w:p>
    <w:p>
      <w:pPr>
        <w:pStyle w:val="Normal.0"/>
        <w:numPr>
          <w:ilvl w:val="0"/>
          <w:numId w:val="5"/>
        </w:numPr>
        <w:shd w:val="clear" w:color="auto" w:fill="ffffff"/>
        <w:bidi w:val="0"/>
        <w:spacing w:line="276" w:lineRule="auto"/>
        <w:ind w:right="0"/>
        <w:jc w:val="left"/>
        <w:rPr>
          <w:rFonts w:ascii="Arial" w:hAnsi="Arial"/>
          <w:b w:val="1"/>
          <w:bCs w:val="1"/>
          <w:sz w:val="20"/>
          <w:szCs w:val="20"/>
          <w:rtl w:val="0"/>
          <w:lang w:val="en-US"/>
        </w:rPr>
      </w:pPr>
      <w:r>
        <w:rPr>
          <w:rFonts w:ascii="Arial" w:hAnsi="Arial"/>
          <w:b w:val="1"/>
          <w:bCs w:val="1"/>
          <w:sz w:val="20"/>
          <w:szCs w:val="20"/>
          <w:rtl w:val="0"/>
          <w:lang w:val="en-US"/>
        </w:rPr>
        <w:t>Eligibility</w:t>
      </w:r>
    </w:p>
    <w:p>
      <w:pPr>
        <w:pStyle w:val="List Paragraph"/>
        <w:numPr>
          <w:ilvl w:val="0"/>
          <w:numId w:val="7"/>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Applicants must be individual members of PCE World with an active membership status for the current year.</w:t>
      </w:r>
    </w:p>
    <w:p>
      <w:pPr>
        <w:pStyle w:val="List Paragraph"/>
        <w:numPr>
          <w:ilvl w:val="0"/>
          <w:numId w:val="7"/>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Applicants must not be a PCE World Board member, PCE World Scientific Committee member, PCE World chapters</w:t>
      </w:r>
      <w:r>
        <w:rPr>
          <w:rFonts w:ascii="Arial" w:hAnsi="Arial" w:hint="default"/>
          <w:sz w:val="20"/>
          <w:szCs w:val="20"/>
          <w:rtl w:val="0"/>
          <w:lang w:val="en-US"/>
        </w:rPr>
        <w:t xml:space="preserve">’ </w:t>
      </w:r>
      <w:r>
        <w:rPr>
          <w:rFonts w:ascii="Arial" w:hAnsi="Arial"/>
          <w:sz w:val="20"/>
          <w:szCs w:val="20"/>
          <w:rtl w:val="0"/>
          <w:lang w:val="en-US"/>
        </w:rPr>
        <w:t>Chair or Board member, or PCEP Editor.</w:t>
      </w:r>
    </w:p>
    <w:p>
      <w:pPr>
        <w:pStyle w:val="List Paragraph"/>
        <w:numPr>
          <w:ilvl w:val="0"/>
          <w:numId w:val="7"/>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There are no restrictions on applicant</w:t>
      </w:r>
      <w:r>
        <w:rPr>
          <w:rFonts w:ascii="Arial" w:hAnsi="Arial" w:hint="default"/>
          <w:sz w:val="20"/>
          <w:szCs w:val="20"/>
          <w:rtl w:val="0"/>
          <w:lang w:val="en-US"/>
        </w:rPr>
        <w:t>’</w:t>
      </w:r>
      <w:r>
        <w:rPr>
          <w:rFonts w:ascii="Arial" w:hAnsi="Arial"/>
          <w:sz w:val="20"/>
          <w:szCs w:val="20"/>
          <w:rtl w:val="0"/>
          <w:lang w:val="en-US"/>
        </w:rPr>
        <w:t xml:space="preserve">s gender, age, nationality, PCE </w:t>
      </w:r>
      <w:r>
        <w:rPr>
          <w:rFonts w:ascii="Arial" w:hAnsi="Arial" w:hint="default"/>
          <w:sz w:val="20"/>
          <w:szCs w:val="20"/>
          <w:rtl w:val="0"/>
          <w:lang w:val="en-US"/>
        </w:rPr>
        <w:t>‘</w:t>
      </w:r>
      <w:r>
        <w:rPr>
          <w:rFonts w:ascii="Arial" w:hAnsi="Arial"/>
          <w:sz w:val="20"/>
          <w:szCs w:val="20"/>
          <w:rtl w:val="0"/>
          <w:lang w:val="en-US"/>
        </w:rPr>
        <w:t>tribe</w:t>
      </w:r>
      <w:r>
        <w:rPr>
          <w:rFonts w:ascii="Arial" w:hAnsi="Arial" w:hint="default"/>
          <w:sz w:val="20"/>
          <w:szCs w:val="20"/>
          <w:rtl w:val="0"/>
          <w:lang w:val="en-US"/>
        </w:rPr>
        <w:t xml:space="preserve">’ </w:t>
      </w:r>
      <w:r>
        <w:rPr>
          <w:rFonts w:ascii="Arial" w:hAnsi="Arial"/>
          <w:sz w:val="20"/>
          <w:szCs w:val="20"/>
          <w:rtl w:val="0"/>
          <w:lang w:val="en-US"/>
        </w:rPr>
        <w:t>or any other basis except for those listed in 2.1-2.2 above.</w:t>
      </w:r>
    </w:p>
    <w:p>
      <w:pPr>
        <w:pStyle w:val="Normal.0"/>
        <w:numPr>
          <w:ilvl w:val="0"/>
          <w:numId w:val="8"/>
        </w:numPr>
        <w:shd w:val="clear" w:color="auto" w:fill="ffffff"/>
        <w:bidi w:val="0"/>
        <w:spacing w:line="276" w:lineRule="auto"/>
        <w:ind w:right="0"/>
        <w:jc w:val="left"/>
        <w:rPr>
          <w:rFonts w:ascii="Arial" w:hAnsi="Arial"/>
          <w:b w:val="1"/>
          <w:bCs w:val="1"/>
          <w:sz w:val="20"/>
          <w:szCs w:val="20"/>
          <w:rtl w:val="0"/>
          <w:lang w:val="en-US"/>
        </w:rPr>
      </w:pPr>
      <w:r>
        <w:rPr>
          <w:rFonts w:ascii="Arial" w:hAnsi="Arial"/>
          <w:b w:val="1"/>
          <w:bCs w:val="1"/>
          <w:sz w:val="20"/>
          <w:szCs w:val="20"/>
          <w:rtl w:val="0"/>
          <w:lang w:val="en-US"/>
        </w:rPr>
        <w:t>Application and selection procedure</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 PCE World Board will announce a Call for applications at least 2 months before the deadline.</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u w:color="0070c0"/>
          <w:rtl w:val="0"/>
          <w:lang w:val="en-US"/>
        </w:rPr>
        <w:t>Along with the application Cover Page (see below), applicants will submit the following:</w:t>
      </w:r>
    </w:p>
    <w:p>
      <w:pPr>
        <w:pStyle w:val="Normal.0"/>
        <w:numPr>
          <w:ilvl w:val="1"/>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u w:color="0070c0"/>
          <w:rtl w:val="0"/>
          <w:lang w:val="en-US"/>
        </w:rPr>
        <w:t>A document that contains the title, keywords and an abstract of their paper, up to 400 words, in English.</w:t>
      </w:r>
    </w:p>
    <w:p>
      <w:pPr>
        <w:pStyle w:val="Normal.0"/>
        <w:numPr>
          <w:ilvl w:val="1"/>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u w:color="0070c0"/>
          <w:rtl w:val="0"/>
          <w:lang w:val="en-US"/>
        </w:rPr>
        <w:t>An estimated cost for the translation of the work. Provide as much detail as possible (See example budget sheet below).</w:t>
      </w:r>
    </w:p>
    <w:p>
      <w:pPr>
        <w:pStyle w:val="Normal.0"/>
        <w:numPr>
          <w:ilvl w:val="1"/>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u w:color="0070c0"/>
          <w:rtl w:val="0"/>
          <w:lang w:val="en-US"/>
        </w:rPr>
        <w:t>Most current CV.</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If the proposed paper has been published elsewhere, it is the responsibility of the applicant to get all necessary permissions prior to the application submission.</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 Grants Committee (in consultation with the PCE World Board) will develop the procedure for the evaluation of applications that meet the following criteria: reflects current and emerging debates in the PCE field and originality of the proposed paper.</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The full Grants Committee must vote on the submitted applications. Depending on the number and quality of the applications, a decision to award partial Grants (1/2; 1/3) or not to award any Grants at all in the current year may be taken. The latter should be approved by the PCE World Board.</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After the Grants Committee chooses an applicant(s), it informs the PCE World Board, which will make a formal announcement and arrange for the transfer of money.</w:t>
      </w:r>
    </w:p>
    <w:p>
      <w:pPr>
        <w:pStyle w:val="Normal.0"/>
        <w:numPr>
          <w:ilvl w:val="0"/>
          <w:numId w:val="10"/>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Successful applicant(s) will receive the full amount they were granted in one payment.</w:t>
      </w:r>
    </w:p>
    <w:p>
      <w:pPr>
        <w:pStyle w:val="Normal.0"/>
        <w:numPr>
          <w:ilvl w:val="0"/>
          <w:numId w:val="11"/>
        </w:numPr>
        <w:shd w:val="clear" w:color="auto" w:fill="ffffff"/>
        <w:bidi w:val="0"/>
        <w:spacing w:line="276" w:lineRule="auto"/>
        <w:ind w:right="0"/>
        <w:jc w:val="left"/>
        <w:rPr>
          <w:rFonts w:ascii="Arial" w:hAnsi="Arial"/>
          <w:b w:val="1"/>
          <w:bCs w:val="1"/>
          <w:sz w:val="20"/>
          <w:szCs w:val="20"/>
          <w:rtl w:val="0"/>
          <w:lang w:val="en-US"/>
        </w:rPr>
      </w:pPr>
      <w:r>
        <w:rPr>
          <w:rFonts w:ascii="Arial" w:hAnsi="Arial"/>
          <w:b w:val="1"/>
          <w:bCs w:val="1"/>
          <w:sz w:val="20"/>
          <w:szCs w:val="20"/>
          <w:rtl w:val="0"/>
          <w:lang w:val="en-US"/>
        </w:rPr>
        <w:t>Completion procedure</w:t>
      </w:r>
    </w:p>
    <w:p>
      <w:pPr>
        <w:pStyle w:val="Normal.0"/>
        <w:numPr>
          <w:ilvl w:val="0"/>
          <w:numId w:val="13"/>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Within 10 months from the date when the Grant was awarded, recipients should submit the translated paper to the PCEP Journal.</w:t>
      </w:r>
    </w:p>
    <w:p>
      <w:pPr>
        <w:pStyle w:val="Normal.0"/>
        <w:numPr>
          <w:ilvl w:val="0"/>
          <w:numId w:val="13"/>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PCEP Journal will undertake the usual peer review process of the translated paper, and may ask for further amendments to be made.</w:t>
      </w:r>
    </w:p>
    <w:p>
      <w:pPr>
        <w:pStyle w:val="Normal.0"/>
        <w:numPr>
          <w:ilvl w:val="0"/>
          <w:numId w:val="13"/>
        </w:numPr>
        <w:shd w:val="clear" w:color="auto" w:fill="ffffff"/>
        <w:bidi w:val="0"/>
        <w:spacing w:line="276" w:lineRule="auto"/>
        <w:ind w:right="0"/>
        <w:jc w:val="left"/>
        <w:rPr>
          <w:rFonts w:ascii="Arial" w:hAnsi="Arial"/>
          <w:sz w:val="20"/>
          <w:szCs w:val="20"/>
          <w:rtl w:val="0"/>
          <w:lang w:val="en-US"/>
        </w:rPr>
      </w:pPr>
      <w:r>
        <w:rPr>
          <w:rFonts w:ascii="Arial" w:hAnsi="Arial"/>
          <w:sz w:val="20"/>
          <w:szCs w:val="20"/>
          <w:rtl w:val="0"/>
          <w:lang w:val="en-US"/>
        </w:rPr>
        <w:t>In the case where the translated paper is not accepted for publication by PCEP, recipients will not be required to pay back the grant and may pursue publication in another journal.</w:t>
      </w:r>
    </w:p>
    <w:p>
      <w:pPr>
        <w:pStyle w:val="Normal.0"/>
        <w:rPr>
          <w:rFonts w:ascii="Arial" w:cs="Arial" w:hAnsi="Arial" w:eastAsia="Arial"/>
          <w:sz w:val="4"/>
          <w:szCs w:val="4"/>
        </w:rPr>
      </w:pPr>
    </w:p>
    <w:p>
      <w:pPr>
        <w:pStyle w:val="Normal.0"/>
        <w:rPr>
          <w:rFonts w:ascii="Arial" w:cs="Arial" w:hAnsi="Arial" w:eastAsia="Arial"/>
          <w:sz w:val="4"/>
          <w:szCs w:val="4"/>
        </w:rPr>
      </w:pPr>
    </w:p>
    <w:p>
      <w:pPr>
        <w:pStyle w:val="Normal.0"/>
        <w:rPr>
          <w:rFonts w:ascii="Arial" w:cs="Arial" w:hAnsi="Arial" w:eastAsia="Arial"/>
          <w:sz w:val="4"/>
          <w:szCs w:val="4"/>
        </w:rPr>
      </w:pPr>
    </w:p>
    <w:p>
      <w:pPr>
        <w:pStyle w:val="Normal.0"/>
      </w:pPr>
      <w:r>
        <w:rPr>
          <w:rFonts w:ascii="Arial" w:hAnsi="Arial"/>
          <w:rtl w:val="0"/>
          <w:lang w:val="en-US"/>
        </w:rPr>
        <w:t xml:space="preserve">**Please email all required materials (see 3.2.1-3 above) to </w:t>
      </w:r>
      <w:r>
        <w:rPr>
          <w:rStyle w:val="Hyperlink.0"/>
        </w:rPr>
        <w:fldChar w:fldCharType="begin" w:fldLock="0"/>
      </w:r>
      <w:r>
        <w:rPr>
          <w:rStyle w:val="Hyperlink.0"/>
        </w:rPr>
        <w:instrText xml:space="preserve"> HYPERLINK "mailto:grants@pce-world.org"</w:instrText>
      </w:r>
      <w:r>
        <w:rPr>
          <w:rStyle w:val="Hyperlink.0"/>
        </w:rPr>
        <w:fldChar w:fldCharType="separate" w:fldLock="0"/>
      </w:r>
      <w:r>
        <w:rPr>
          <w:rStyle w:val="Hyperlink.0"/>
          <w:rtl w:val="0"/>
        </w:rPr>
        <w:t>grants@pce-world.org</w:t>
      </w:r>
      <w:r>
        <w:rPr/>
        <w:fldChar w:fldCharType="end" w:fldLock="0"/>
      </w:r>
      <w:r>
        <w:rPr>
          <w:rFonts w:ascii="Arial Unicode MS" w:cs="Arial Unicode MS" w:hAnsi="Arial Unicode MS" w:eastAsia="Arial Unicode MS"/>
          <w:b w:val="0"/>
          <w:bCs w:val="0"/>
          <w:i w:val="0"/>
          <w:iCs w:val="0"/>
        </w:rPr>
        <w:br w:type="page"/>
      </w:r>
    </w:p>
    <w:p>
      <w:pPr>
        <w:pStyle w:val="Normal.0"/>
        <w:rPr>
          <w:rFonts w:ascii="Arial" w:cs="Arial" w:hAnsi="Arial" w:eastAsia="Arial"/>
          <w:sz w:val="44"/>
          <w:szCs w:val="44"/>
        </w:rPr>
      </w:pPr>
      <w:r>
        <w:drawing xmlns:a="http://schemas.openxmlformats.org/drawingml/2006/main">
          <wp:anchor distT="0" distB="0" distL="0" distR="0" simplePos="0" relativeHeight="251659264" behindDoc="0" locked="0" layoutInCell="1" allowOverlap="1">
            <wp:simplePos x="0" y="0"/>
            <wp:positionH relativeFrom="page">
              <wp:posOffset>4737663</wp:posOffset>
            </wp:positionH>
            <wp:positionV relativeFrom="page">
              <wp:posOffset>358139</wp:posOffset>
            </wp:positionV>
            <wp:extent cx="2126688" cy="1417320"/>
            <wp:effectExtent l="0" t="0" r="0" b="0"/>
            <wp:wrapNone/>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4">
                      <a:extLst/>
                    </a:blip>
                    <a:stretch>
                      <a:fillRect/>
                    </a:stretch>
                  </pic:blipFill>
                  <pic:spPr>
                    <a:xfrm>
                      <a:off x="0" y="0"/>
                      <a:ext cx="2126688" cy="1417320"/>
                    </a:xfrm>
                    <a:prstGeom prst="rect">
                      <a:avLst/>
                    </a:prstGeom>
                    <a:ln w="12700" cap="flat">
                      <a:noFill/>
                      <a:miter lim="400000"/>
                    </a:ln>
                    <a:effectLst/>
                  </pic:spPr>
                </pic:pic>
              </a:graphicData>
            </a:graphic>
          </wp:anchor>
        </w:drawing>
      </w:r>
    </w:p>
    <w:p>
      <w:pPr>
        <w:pStyle w:val="Normal.0"/>
        <w:rPr>
          <w:rFonts w:ascii="Arial" w:cs="Arial" w:hAnsi="Arial" w:eastAsia="Arial"/>
          <w:sz w:val="44"/>
          <w:szCs w:val="44"/>
        </w:rPr>
      </w:pPr>
      <w:r>
        <w:rPr>
          <w:rFonts w:ascii="Arial" w:hAnsi="Arial"/>
          <w:sz w:val="44"/>
          <w:szCs w:val="44"/>
          <w:rtl w:val="0"/>
          <w:lang w:val="en-US"/>
        </w:rPr>
        <w:t xml:space="preserve">PCE World Translation </w:t>
      </w:r>
    </w:p>
    <w:p>
      <w:pPr>
        <w:pStyle w:val="Normal.0"/>
        <w:rPr>
          <w:rFonts w:ascii="Arial" w:cs="Arial" w:hAnsi="Arial" w:eastAsia="Arial"/>
          <w:sz w:val="44"/>
          <w:szCs w:val="44"/>
        </w:rPr>
      </w:pPr>
      <w:r>
        <w:rPr>
          <w:rFonts w:ascii="Arial" w:hAnsi="Arial"/>
          <w:sz w:val="44"/>
          <w:szCs w:val="44"/>
          <w:rtl w:val="0"/>
          <w:lang w:val="en-US"/>
        </w:rPr>
        <w:t>Grant Cover Page</w:t>
      </w:r>
      <w:r>
        <w:rPr>
          <w:rtl w:val="0"/>
          <w:lang w:val="en-US"/>
        </w:rPr>
        <w:t xml:space="preserve"> </w:t>
      </w:r>
    </w:p>
    <w:p>
      <w:pPr>
        <w:pStyle w:val="Normal.0"/>
        <w:jc w:val="both"/>
        <w:rPr>
          <w:rFonts w:ascii="Arial" w:cs="Arial" w:hAnsi="Arial" w:eastAsia="Arial"/>
        </w:rPr>
      </w:pPr>
    </w:p>
    <w:p>
      <w:pPr>
        <w:pStyle w:val="Normal.0"/>
        <w:jc w:val="both"/>
        <w:rPr>
          <w:rFonts w:ascii="Arial" w:cs="Arial" w:hAnsi="Arial" w:eastAsia="Arial"/>
        </w:rPr>
      </w:pPr>
    </w:p>
    <w:tbl>
      <w:tblPr>
        <w:tblW w:w="10273" w:type="dxa"/>
        <w:jc w:val="left"/>
        <w:tblInd w:w="1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11"/>
        <w:gridCol w:w="6662"/>
      </w:tblGrid>
      <w:tr>
        <w:tblPrEx>
          <w:shd w:val="clear" w:color="auto" w:fill="ced7e7"/>
        </w:tblPrEx>
        <w:trPr>
          <w:trHeight w:val="44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shd w:val="nil" w:color="auto" w:fill="auto"/>
                <w:rtl w:val="0"/>
                <w:lang w:val="en-US"/>
              </w:rPr>
              <w:t>Working Title o</w:t>
            </w:r>
            <w:r>
              <w:rPr>
                <w:rFonts w:ascii="Arial" w:hAnsi="Arial"/>
                <w:b w:val="1"/>
                <w:bCs w:val="1"/>
                <w:sz w:val="20"/>
                <w:szCs w:val="20"/>
                <w:shd w:val="nil" w:color="auto" w:fill="auto"/>
                <w:rtl w:val="0"/>
                <w:lang w:val="en-US"/>
              </w:rPr>
              <w:t>f Paper for Translation</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Last Name</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First Name</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Affiliation</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Work Position</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Address</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Telephone (inc. country code)</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3" w:hRule="atLeast"/>
        </w:trPr>
        <w:tc>
          <w:tcPr>
            <w:tcW w:type="dxa" w:w="36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pPr>
            <w:r>
              <w:rPr>
                <w:rFonts w:ascii="Arial" w:hAnsi="Arial"/>
                <w:b w:val="1"/>
                <w:bCs w:val="1"/>
                <w:sz w:val="20"/>
                <w:szCs w:val="20"/>
                <w:shd w:val="nil" w:color="auto" w:fill="auto"/>
                <w:rtl w:val="0"/>
                <w:lang w:val="en-US"/>
              </w:rPr>
              <w:t>E-mail Address</w:t>
            </w:r>
          </w:p>
        </w:tc>
        <w:tc>
          <w:tcPr>
            <w:tcW w:type="dxa" w:w="66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ind w:left="70" w:hanging="70"/>
        <w:jc w:val="both"/>
        <w:rPr>
          <w:rFonts w:ascii="Arial" w:cs="Arial" w:hAnsi="Arial" w:eastAsia="Arial"/>
        </w:rPr>
      </w:pPr>
    </w:p>
    <w:p>
      <w:pPr>
        <w:pStyle w:val="Normal.0"/>
        <w:rPr>
          <w:rFonts w:ascii="Lucida Sans Unicode" w:cs="Lucida Sans Unicode" w:hAnsi="Lucida Sans Unicode" w:eastAsia="Lucida Sans Unicode"/>
          <w:sz w:val="2"/>
          <w:szCs w:val="2"/>
        </w:rPr>
      </w:pPr>
    </w:p>
    <w:p>
      <w:pPr>
        <w:pStyle w:val="Normal.0"/>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PCE World Translation Grant</w:t>
      </w:r>
    </w:p>
    <w:p>
      <w:pPr>
        <w:pStyle w:val="Normal.0"/>
        <w:rPr>
          <w:rFonts w:ascii="Arial" w:cs="Arial" w:hAnsi="Arial" w:eastAsia="Arial"/>
          <w:b w:val="1"/>
          <w:bCs w:val="1"/>
        </w:rPr>
      </w:pPr>
      <w:r>
        <w:rPr>
          <w:rFonts w:ascii="Arial" w:hAnsi="Arial"/>
          <w:b w:val="1"/>
          <w:bCs w:val="1"/>
          <w:rtl w:val="0"/>
          <w:lang w:val="en-US"/>
        </w:rPr>
        <w:t>Example Budget Sheet</w:t>
      </w:r>
    </w:p>
    <w:p>
      <w:pPr>
        <w:pStyle w:val="Normal.0"/>
        <w:jc w:val="center"/>
        <w:rPr>
          <w:rFonts w:ascii="Arial" w:cs="Arial" w:hAnsi="Arial" w:eastAsia="Arial"/>
          <w:b w:val="1"/>
          <w:bCs w:val="1"/>
          <w:sz w:val="22"/>
          <w:szCs w:val="22"/>
        </w:rPr>
      </w:pPr>
    </w:p>
    <w:tbl>
      <w:tblPr>
        <w:tblW w:w="1012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06"/>
        <w:gridCol w:w="2524"/>
        <w:gridCol w:w="2071"/>
        <w:gridCol w:w="1524"/>
      </w:tblGrid>
      <w:tr>
        <w:tblPrEx>
          <w:shd w:val="clear" w:color="auto" w:fill="ced7e7"/>
        </w:tblPrEx>
        <w:trPr>
          <w:trHeight w:val="43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Item</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Rate</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Quantity</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Cost</w:t>
            </w:r>
          </w:p>
        </w:tc>
      </w:tr>
      <w:tr>
        <w:tblPrEx>
          <w:shd w:val="clear" w:color="auto" w:fill="ced7e7"/>
        </w:tblPrEx>
        <w:trPr>
          <w:trHeight w:val="42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Document Length</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______</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XXXX words</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hint="default"/>
                <w:shd w:val="nil" w:color="auto" w:fill="auto"/>
                <w:rtl w:val="0"/>
                <w:lang w:val="en-US"/>
              </w:rPr>
              <w:t> </w:t>
            </w:r>
          </w:p>
        </w:tc>
      </w:tr>
      <w:tr>
        <w:tblPrEx>
          <w:shd w:val="clear" w:color="auto" w:fill="ced7e7"/>
        </w:tblPrEx>
        <w:trPr>
          <w:trHeight w:val="42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Translation Fee</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hint="default"/>
                <w:shd w:val="nil" w:color="auto" w:fill="auto"/>
                <w:rtl w:val="0"/>
                <w:lang w:val="en-US"/>
              </w:rPr>
              <w:t>€</w:t>
            </w:r>
            <w:r>
              <w:rPr>
                <w:rFonts w:ascii="Calibri" w:hAnsi="Calibri"/>
                <w:shd w:val="nil" w:color="auto" w:fill="auto"/>
                <w:rtl w:val="0"/>
                <w:lang w:val="en-US"/>
              </w:rPr>
              <w:t>XX/word</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XXXX words</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Subject-Matter Expertise</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Additional XX%</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hint="default"/>
                <w:shd w:val="nil" w:color="auto" w:fill="auto"/>
                <w:rtl w:val="0"/>
                <w:lang w:val="en-US"/>
              </w:rPr>
              <w:t> </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98"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Proofreading/Edit</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hint="default"/>
                <w:shd w:val="nil" w:color="auto" w:fill="auto"/>
                <w:rtl w:val="0"/>
                <w:lang w:val="en-US"/>
              </w:rPr>
              <w:t>€</w:t>
            </w:r>
            <w:r>
              <w:rPr>
                <w:rFonts w:ascii="Calibri" w:hAnsi="Calibri"/>
                <w:shd w:val="nil" w:color="auto" w:fill="auto"/>
                <w:rtl w:val="0"/>
                <w:lang w:val="en-US"/>
              </w:rPr>
              <w:t>XX/word</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XXXX words</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Formatting/Layout</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hd w:val="nil" w:color="auto" w:fill="auto"/>
                <w:rtl w:val="0"/>
                <w:lang w:val="en-US"/>
              </w:rPr>
              <w:t>flat fee</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hint="default"/>
                <w:shd w:val="nil" w:color="auto" w:fill="auto"/>
                <w:rtl w:val="0"/>
                <w:lang w:val="en-US"/>
              </w:rPr>
              <w:t> </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27" w:hRule="atLeast"/>
        </w:trPr>
        <w:tc>
          <w:tcPr>
            <w:tcW w:type="dxa" w:w="4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pPr>
            <w:r>
              <w:rPr>
                <w:rFonts w:ascii="Calibri" w:hAnsi="Calibri" w:hint="default"/>
                <w:shd w:val="nil" w:color="auto" w:fill="auto"/>
                <w:rtl w:val="0"/>
                <w:lang w:val="en-US"/>
              </w:rPr>
              <w:t> </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pPr>
            <w:r>
              <w:rPr>
                <w:rFonts w:ascii="Calibri" w:hAnsi="Calibri" w:hint="default"/>
                <w:shd w:val="nil" w:color="auto" w:fill="auto"/>
                <w:rtl w:val="0"/>
                <w:lang w:val="en-US"/>
              </w:rPr>
              <w:t> </w:t>
            </w:r>
          </w:p>
        </w:tc>
        <w:tc>
          <w:tcPr>
            <w:tcW w:type="dxa" w:w="20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b w:val="1"/>
                <w:bCs w:val="1"/>
                <w:shd w:val="nil" w:color="auto" w:fill="auto"/>
                <w:rtl w:val="0"/>
                <w:lang w:val="en-US"/>
              </w:rPr>
              <w:t>Total Cost:</w:t>
            </w:r>
          </w:p>
        </w:tc>
        <w:tc>
          <w:tcPr>
            <w:tcW w:type="dxa" w:w="1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Normal.0"/>
        <w:widowControl w:val="0"/>
        <w:jc w:val="center"/>
        <w:rPr>
          <w:rFonts w:ascii="Arial" w:cs="Arial" w:hAnsi="Arial" w:eastAsia="Arial"/>
          <w:b w:val="1"/>
          <w:bCs w:val="1"/>
          <w:sz w:val="22"/>
          <w:szCs w:val="22"/>
        </w:rPr>
      </w:pPr>
    </w:p>
    <w:p>
      <w:pPr>
        <w:pStyle w:val="Normal.0"/>
        <w:jc w:val="center"/>
        <w:rPr>
          <w:rFonts w:ascii="Arial" w:cs="Arial" w:hAnsi="Arial" w:eastAsia="Arial"/>
          <w:sz w:val="22"/>
          <w:szCs w:val="22"/>
        </w:rPr>
      </w:pPr>
    </w:p>
    <w:p>
      <w:pPr>
        <w:pStyle w:val="Normal.0"/>
        <w:rPr>
          <w:rFonts w:ascii="Lucida Sans Unicode" w:cs="Lucida Sans Unicode" w:hAnsi="Lucida Sans Unicode" w:eastAsia="Lucida Sans Unicode"/>
          <w:sz w:val="2"/>
          <w:szCs w:val="2"/>
        </w:rPr>
      </w:pPr>
    </w:p>
    <w:p>
      <w:pPr>
        <w:pStyle w:val="Normal.0"/>
      </w:pPr>
      <w:r/>
    </w:p>
    <w:sectPr>
      <w:headerReference w:type="default" r:id="rId5"/>
      <w:footerReference w:type="default" r:id="rId6"/>
      <w:pgSz w:w="11900" w:h="16840" w:orient="portrait"/>
      <w:pgMar w:top="720" w:right="720" w:bottom="720" w:left="720" w:header="567"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Lucida Sans Unicod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44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440"/>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4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40"/>
        </w:tabs>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s>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40"/>
        </w:tabs>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2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22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22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2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2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2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2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91"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451"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11"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22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0" w:hanging="22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22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600" w:hanging="22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320" w:hanging="2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2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760" w:hanging="2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480" w:hanging="22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 w:ilvl="0">
        <w:start w:val="2"/>
        <w:numFmt w:val="decimal"/>
        <w:suff w:val="tab"/>
        <w:lvlText w:val="%1."/>
        <w:lvlJc w:val="left"/>
        <w:pPr>
          <w:tabs>
            <w:tab w:val="left" w:pos="1080"/>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080"/>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080"/>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080"/>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080"/>
          </w:tabs>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080"/>
          </w:tabs>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080"/>
          </w:tabs>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080"/>
          </w:tabs>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0"/>
    <w:lvlOverride w:ilvl="0">
      <w:startOverride w:val="3"/>
      <w:lvl w:ilvl="0">
        <w:start w:val="3"/>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0"/>
    <w:lvlOverride w:ilvl="0">
      <w:startOverride w:val="4"/>
      <w:lvl w:ilvl="0">
        <w:start w:val="4"/>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2">
    <w:abstractNumId w:val="9"/>
  </w:num>
  <w:num w:numId="13">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2"/>
      </w:numPr>
    </w:p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Arial" w:cs="Arial" w:hAnsi="Arial" w:eastAsia="Aria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